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9E48" w14:textId="755733AE" w:rsidR="005F6CD4" w:rsidRPr="005F6CD4" w:rsidRDefault="005F6CD4" w:rsidP="005F6CD4">
      <w:pPr>
        <w:pStyle w:val="Header"/>
        <w:rPr>
          <w:rFonts w:cstheme="minorHAnsi"/>
          <w:b/>
          <w:color w:val="808080"/>
          <w:sz w:val="40"/>
          <w:szCs w:val="40"/>
        </w:rPr>
      </w:pPr>
      <w:r w:rsidRPr="005F6CD4">
        <w:rPr>
          <w:rFonts w:cstheme="minorHAnsi"/>
          <w:b/>
          <w:color w:val="808080"/>
          <w:sz w:val="40"/>
          <w:szCs w:val="40"/>
        </w:rPr>
        <w:t>DR S RASOOL</w:t>
      </w:r>
      <w:r w:rsidRPr="005F6CD4">
        <w:rPr>
          <w:rFonts w:cstheme="minorHAnsi"/>
          <w:b/>
          <w:color w:val="808080"/>
          <w:sz w:val="40"/>
          <w:szCs w:val="40"/>
        </w:rPr>
        <w:tab/>
      </w:r>
      <w:r w:rsidRPr="005F6CD4">
        <w:rPr>
          <w:rFonts w:cstheme="minorHAnsi"/>
          <w:b/>
          <w:color w:val="808080"/>
          <w:sz w:val="40"/>
          <w:szCs w:val="40"/>
        </w:rPr>
        <w:tab/>
      </w:r>
      <w:r w:rsidRPr="005F6CD4">
        <w:rPr>
          <w:rFonts w:cstheme="minorHAnsi"/>
          <w:noProof/>
          <w:lang w:eastAsia="en-GB"/>
        </w:rPr>
        <w:drawing>
          <wp:inline distT="0" distB="0" distL="0" distR="0" wp14:anchorId="0AFE3FDC" wp14:editId="4E7DBF66">
            <wp:extent cx="895350" cy="361950"/>
            <wp:effectExtent l="0" t="0" r="0" b="0"/>
            <wp:docPr id="1" name="Picture 1" descr="NHS 10mm -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10mm - RGB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14:paraId="150ECFE4" w14:textId="4D41CB99" w:rsidR="005F6CD4" w:rsidRPr="005F6CD4" w:rsidRDefault="005F6CD4" w:rsidP="005F6CD4">
      <w:pPr>
        <w:pStyle w:val="Header"/>
        <w:rPr>
          <w:rFonts w:cstheme="minorHAnsi"/>
          <w:noProof/>
          <w:lang w:eastAsia="en-GB"/>
        </w:rPr>
      </w:pPr>
      <w:r w:rsidRPr="005F6CD4">
        <w:rPr>
          <w:rFonts w:cstheme="minorHAnsi"/>
          <w:b/>
          <w:color w:val="808080"/>
        </w:rPr>
        <w:t>General Practitioner</w:t>
      </w:r>
      <w:r>
        <w:rPr>
          <w:rFonts w:ascii="Arial" w:hAnsi="Arial" w:cs="Arial"/>
          <w:b/>
          <w:color w:val="808080"/>
        </w:rPr>
        <w:tab/>
      </w:r>
      <w:r>
        <w:rPr>
          <w:rFonts w:ascii="Arial" w:hAnsi="Arial" w:cs="Arial"/>
          <w:b/>
          <w:color w:val="808080"/>
        </w:rPr>
        <w:tab/>
      </w:r>
      <w:r w:rsidRPr="005F6CD4">
        <w:rPr>
          <w:rFonts w:cstheme="minorHAnsi"/>
          <w:noProof/>
          <w:lang w:eastAsia="en-GB"/>
        </w:rPr>
        <w:t>Abbey Health Centre</w:t>
      </w:r>
    </w:p>
    <w:p w14:paraId="766A37B3" w14:textId="711E1BE1" w:rsidR="005F6CD4" w:rsidRPr="005F6CD4" w:rsidRDefault="005F6CD4" w:rsidP="005F6CD4">
      <w:pPr>
        <w:pStyle w:val="Header"/>
        <w:jc w:val="right"/>
        <w:rPr>
          <w:rFonts w:cstheme="minorHAnsi"/>
          <w:noProof/>
          <w:lang w:eastAsia="en-GB"/>
        </w:rPr>
      </w:pPr>
      <w:r w:rsidRPr="005F6CD4">
        <w:rPr>
          <w:rFonts w:cstheme="minorHAnsi"/>
          <w:noProof/>
          <w:lang w:eastAsia="en-GB"/>
        </w:rPr>
        <w:t>Finchale Avenue</w:t>
      </w:r>
    </w:p>
    <w:p w14:paraId="18AF2B44" w14:textId="700F31EC" w:rsidR="005F6CD4" w:rsidRPr="005F6CD4" w:rsidRDefault="005F6CD4" w:rsidP="005F6CD4">
      <w:pPr>
        <w:pStyle w:val="Header"/>
        <w:jc w:val="right"/>
        <w:rPr>
          <w:rFonts w:cstheme="minorHAnsi"/>
          <w:noProof/>
          <w:lang w:eastAsia="en-GB"/>
        </w:rPr>
      </w:pPr>
      <w:r w:rsidRPr="005F6CD4">
        <w:rPr>
          <w:rFonts w:cstheme="minorHAnsi"/>
          <w:noProof/>
          <w:lang w:eastAsia="en-GB"/>
        </w:rPr>
        <w:t>Billingham</w:t>
      </w:r>
    </w:p>
    <w:p w14:paraId="68DC6B43" w14:textId="6FAE45CA" w:rsidR="005F6CD4" w:rsidRPr="005F6CD4" w:rsidRDefault="005F6CD4" w:rsidP="005F6CD4">
      <w:pPr>
        <w:pStyle w:val="Header"/>
        <w:jc w:val="right"/>
        <w:rPr>
          <w:rFonts w:cstheme="minorHAnsi"/>
          <w:noProof/>
          <w:lang w:eastAsia="en-GB"/>
        </w:rPr>
      </w:pPr>
      <w:r w:rsidRPr="005F6CD4">
        <w:rPr>
          <w:rFonts w:cstheme="minorHAnsi"/>
          <w:noProof/>
          <w:lang w:eastAsia="en-GB"/>
        </w:rPr>
        <w:t>TS23 2DG</w:t>
      </w:r>
    </w:p>
    <w:p w14:paraId="35525EB1" w14:textId="77777777" w:rsidR="005F6CD4" w:rsidRPr="005F6CD4" w:rsidRDefault="005F6CD4" w:rsidP="005F6CD4">
      <w:pPr>
        <w:pStyle w:val="Header"/>
        <w:jc w:val="right"/>
        <w:rPr>
          <w:rFonts w:cstheme="minorHAnsi"/>
          <w:noProof/>
          <w:lang w:eastAsia="en-GB"/>
        </w:rPr>
      </w:pPr>
    </w:p>
    <w:p w14:paraId="1EE00E31" w14:textId="1EA3032C" w:rsidR="005F6CD4" w:rsidRPr="005F6CD4" w:rsidRDefault="005F6CD4" w:rsidP="005F6CD4">
      <w:pPr>
        <w:pStyle w:val="Header"/>
        <w:jc w:val="right"/>
        <w:rPr>
          <w:rFonts w:cstheme="minorHAnsi"/>
          <w:noProof/>
          <w:lang w:eastAsia="en-GB"/>
        </w:rPr>
      </w:pPr>
      <w:r w:rsidRPr="005F6CD4">
        <w:rPr>
          <w:rFonts w:cstheme="minorHAnsi"/>
          <w:noProof/>
          <w:lang w:eastAsia="en-GB"/>
        </w:rPr>
        <w:t>Tel: 01642 360033</w:t>
      </w:r>
    </w:p>
    <w:p w14:paraId="7611D106" w14:textId="40BE34D9" w:rsidR="005F6CD4" w:rsidRPr="005F6CD4" w:rsidRDefault="005F6CD4" w:rsidP="005F6CD4">
      <w:pPr>
        <w:pStyle w:val="Header"/>
        <w:jc w:val="right"/>
        <w:rPr>
          <w:rFonts w:cstheme="minorHAnsi"/>
          <w:noProof/>
          <w:lang w:eastAsia="en-GB"/>
        </w:rPr>
      </w:pPr>
      <w:r w:rsidRPr="005F6CD4">
        <w:rPr>
          <w:rFonts w:cstheme="minorHAnsi"/>
          <w:noProof/>
          <w:lang w:eastAsia="en-GB"/>
        </w:rPr>
        <w:t>Email: nencicb-tv.a81602@nhs.net</w:t>
      </w:r>
    </w:p>
    <w:p w14:paraId="5AC5F776" w14:textId="5C240870" w:rsidR="004D5CF0" w:rsidRPr="005F6CD4" w:rsidRDefault="00155A0B" w:rsidP="005F6CD4">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proofErr w:type="gramStart"/>
      <w:r w:rsidRPr="004B78FF">
        <w:rPr>
          <w:rFonts w:asciiTheme="minorHAnsi" w:hAnsiTheme="minorHAnsi"/>
          <w:b/>
          <w:bCs/>
          <w:sz w:val="28"/>
          <w:szCs w:val="28"/>
        </w:rPr>
        <w:t>know</w:t>
      </w:r>
      <w:proofErr w:type="gramEnd"/>
      <w:r w:rsidRPr="004B78FF">
        <w:rPr>
          <w:rFonts w:asciiTheme="minorHAnsi" w:hAnsiTheme="minorHAnsi"/>
          <w:b/>
          <w:bCs/>
          <w:sz w:val="28"/>
          <w:szCs w:val="28"/>
        </w:rPr>
        <w:t xml:space="preserve">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62BAE56"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r w:rsidR="005F6CD4" w:rsidRPr="00A93784">
        <w:rPr>
          <w:rFonts w:asciiTheme="minorHAnsi" w:hAnsiTheme="minorHAnsi"/>
          <w:sz w:val="22"/>
          <w:szCs w:val="22"/>
        </w:rPr>
        <w:t>and</w:t>
      </w:r>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1A87F301" w:rsidR="00F44FE5" w:rsidRPr="004B78FF" w:rsidRDefault="005F6CD4"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Pr>
          <w:rFonts w:asciiTheme="minorHAnsi" w:hAnsiTheme="minorHAnsi"/>
          <w:b/>
          <w:bCs/>
          <w:sz w:val="23"/>
          <w:szCs w:val="23"/>
        </w:rPr>
        <w:t>England</w:t>
      </w:r>
      <w:r w:rsidR="00F44FE5" w:rsidRPr="004B78FF">
        <w:rPr>
          <w:rFonts w:asciiTheme="minorHAnsi" w:hAnsiTheme="minorHAnsi"/>
          <w:b/>
          <w:bCs/>
          <w:sz w:val="23"/>
          <w:szCs w:val="23"/>
        </w:rPr>
        <w:t xml:space="preserve"> </w:t>
      </w:r>
    </w:p>
    <w:p w14:paraId="7F170992" w14:textId="7FA2634A"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w:t>
      </w:r>
      <w:r w:rsidR="005F6CD4" w:rsidRPr="007B08D6">
        <w:rPr>
          <w:rFonts w:asciiTheme="minorHAnsi" w:hAnsiTheme="minorHAnsi"/>
          <w:sz w:val="22"/>
          <w:szCs w:val="22"/>
        </w:rPr>
        <w:t>publication,</w:t>
      </w:r>
      <w:r w:rsidRPr="007B08D6">
        <w:rPr>
          <w:rFonts w:asciiTheme="minorHAnsi" w:hAnsiTheme="minorHAnsi"/>
          <w:sz w:val="22"/>
          <w:szCs w:val="22"/>
        </w:rPr>
        <w:t xml:space="preserve"> and dissemination of data generated by health and social care services, to improve </w:t>
      </w:r>
      <w:r w:rsidR="005F6CD4" w:rsidRPr="007B08D6">
        <w:rPr>
          <w:rFonts w:asciiTheme="minorHAnsi" w:hAnsiTheme="minorHAnsi"/>
          <w:sz w:val="22"/>
          <w:szCs w:val="22"/>
        </w:rPr>
        <w:t>outcomes.</w:t>
      </w:r>
      <w:r w:rsidRPr="007B08D6">
        <w:rPr>
          <w:rFonts w:asciiTheme="minorHAnsi" w:hAnsiTheme="minorHAnsi"/>
          <w:sz w:val="22"/>
          <w:szCs w:val="22"/>
        </w:rPr>
        <w:t xml:space="preserve">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9"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9ECE0B7" w14:textId="61758D1E"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r w:rsidR="005F6CD4" w:rsidRPr="00A93784">
        <w:rPr>
          <w:rFonts w:asciiTheme="minorHAnsi" w:hAnsiTheme="minorHAnsi"/>
          <w:sz w:val="22"/>
          <w:szCs w:val="22"/>
        </w:rPr>
        <w:t>e.g.,</w:t>
      </w:r>
      <w:r w:rsidRPr="00A93784">
        <w:rPr>
          <w:rFonts w:asciiTheme="minorHAnsi" w:hAnsiTheme="minorHAnsi"/>
          <w:sz w:val="22"/>
          <w:szCs w:val="22"/>
        </w:rPr>
        <w:t xml:space="preserve"> from Hospitals, GP Surgeries, A&amp;E, etc.). These </w:t>
      </w:r>
      <w:r w:rsidRPr="00A93784">
        <w:rPr>
          <w:rFonts w:asciiTheme="minorHAnsi" w:hAnsiTheme="minorHAnsi"/>
          <w:sz w:val="22"/>
          <w:szCs w:val="22"/>
        </w:rPr>
        <w:lastRenderedPageBreak/>
        <w:t>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w:t>
      </w:r>
      <w:proofErr w:type="gramStart"/>
      <w:r w:rsidRPr="00A93784">
        <w:rPr>
          <w:rFonts w:cs="Calibri"/>
          <w:color w:val="000000"/>
        </w:rPr>
        <w:t>you</w:t>
      </w:r>
      <w:proofErr w:type="gramEnd"/>
      <w:r w:rsidRPr="00A93784">
        <w:rPr>
          <w:rFonts w:cs="Calibri"/>
          <w:color w:val="000000"/>
        </w:rPr>
        <w:t xml:space="preserve">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30C312F9"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5F6CD4">
        <w:rPr>
          <w:rFonts w:cs="Arial"/>
          <w:color w:val="333333"/>
        </w:rPr>
        <w:t xml:space="preserve">Andrea </w:t>
      </w:r>
      <w:proofErr w:type="spellStart"/>
      <w:r w:rsidR="005F6CD4">
        <w:rPr>
          <w:rFonts w:cs="Arial"/>
          <w:color w:val="333333"/>
        </w:rPr>
        <w:t>Pletts,</w:t>
      </w:r>
      <w:proofErr w:type="spellEnd"/>
      <w:r w:rsidR="005F6CD4">
        <w:rPr>
          <w:rFonts w:cs="Arial"/>
          <w:color w:val="333333"/>
        </w:rPr>
        <w:t xml:space="preserve"> </w:t>
      </w:r>
      <w:r w:rsidRPr="007B08D6">
        <w:rPr>
          <w:rFonts w:cs="Arial"/>
          <w:color w:val="333333"/>
        </w:rPr>
        <w:t>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286E2B63" w:rsidR="00155A0B" w:rsidRPr="00A93784" w:rsidRDefault="00155A0B" w:rsidP="006F0239">
      <w:pPr>
        <w:spacing w:after="0" w:line="240" w:lineRule="auto"/>
        <w:jc w:val="both"/>
      </w:pPr>
      <w:r w:rsidRPr="00A93784">
        <w:t xml:space="preserve">We </w:t>
      </w:r>
      <w:r w:rsidR="00036E5A" w:rsidRPr="00A93784">
        <w:t>always maintain our duty of confidentiality to you</w:t>
      </w:r>
      <w:r w:rsidRPr="00A93784">
        <w:t xml:space="preserve">. We will only ever use or pass on information about you if we reasonably believe that others involved in your care have a genuine need for it. We </w:t>
      </w:r>
      <w:r w:rsidRPr="00A93784">
        <w:lastRenderedPageBreak/>
        <w:t>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5966DA7B"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w:t>
      </w:r>
      <w:r w:rsidR="00036E5A" w:rsidRPr="00A93784">
        <w:rPr>
          <w:rFonts w:asciiTheme="minorHAnsi" w:hAnsiTheme="minorHAnsi"/>
          <w:sz w:val="22"/>
          <w:szCs w:val="22"/>
        </w:rPr>
        <w:t>family,</w:t>
      </w:r>
      <w:r w:rsidRPr="00A93784">
        <w:rPr>
          <w:rFonts w:asciiTheme="minorHAnsi" w:hAnsiTheme="minorHAnsi"/>
          <w:sz w:val="22"/>
          <w:szCs w:val="22"/>
        </w:rPr>
        <w:t xml:space="preserve"> and your community with better care. For </w:t>
      </w:r>
      <w:r w:rsidR="00036E5A" w:rsidRPr="00A93784">
        <w:rPr>
          <w:rFonts w:asciiTheme="minorHAnsi" w:hAnsiTheme="minorHAnsi"/>
          <w:sz w:val="22"/>
          <w:szCs w:val="22"/>
        </w:rPr>
        <w:t>example,</w:t>
      </w:r>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61292C1F"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r w:rsidR="00036E5A" w:rsidRPr="00A93784">
        <w:rPr>
          <w:rFonts w:asciiTheme="minorHAnsi" w:hAnsiTheme="minorHAnsi"/>
          <w:sz w:val="22"/>
          <w:szCs w:val="22"/>
        </w:rPr>
        <w:t>several</w:t>
      </w:r>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6D2C55DC"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r w:rsidR="00036E5A" w:rsidRPr="00A93784">
        <w:rPr>
          <w:rFonts w:asciiTheme="minorHAnsi" w:hAnsiTheme="minorHAnsi"/>
          <w:sz w:val="22"/>
          <w:szCs w:val="22"/>
        </w:rPr>
        <w:t>can</w:t>
      </w:r>
      <w:r w:rsidRPr="00A93784">
        <w:rPr>
          <w:rFonts w:asciiTheme="minorHAnsi" w:hAnsiTheme="minorHAnsi"/>
          <w:sz w:val="22"/>
          <w:szCs w:val="22"/>
        </w:rPr>
        <w:t xml:space="preserve"> have immunisations and health checks when they are due. We share information about childhood immunisations, the </w:t>
      </w:r>
      <w:r w:rsidR="00036E5A" w:rsidRPr="00A93784">
        <w:rPr>
          <w:rFonts w:asciiTheme="minorHAnsi" w:hAnsiTheme="minorHAnsi"/>
          <w:sz w:val="22"/>
          <w:szCs w:val="22"/>
        </w:rPr>
        <w:t>6–8-week</w:t>
      </w:r>
      <w:r w:rsidRPr="00A93784">
        <w:rPr>
          <w:rFonts w:asciiTheme="minorHAnsi" w:hAnsiTheme="minorHAnsi"/>
          <w:sz w:val="22"/>
          <w:szCs w:val="22"/>
        </w:rPr>
        <w:t xml:space="preserve"> new baby check and breast-feeding status with NHS </w:t>
      </w:r>
      <w:r w:rsidR="00036E5A">
        <w:rPr>
          <w:rFonts w:asciiTheme="minorHAnsi" w:hAnsiTheme="minorHAnsi"/>
          <w:sz w:val="22"/>
          <w:szCs w:val="22"/>
        </w:rPr>
        <w:t>North Tees and Hartlepool</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3F5ED4D"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w:t>
      </w:r>
      <w:r w:rsidR="00036E5A" w:rsidRPr="00A93784">
        <w:rPr>
          <w:rFonts w:asciiTheme="minorHAnsi" w:hAnsiTheme="minorHAnsi"/>
          <w:sz w:val="22"/>
          <w:szCs w:val="22"/>
        </w:rPr>
        <w:t>e.g.,</w:t>
      </w:r>
      <w:r w:rsidRPr="00A93784">
        <w:rPr>
          <w:rFonts w:asciiTheme="minorHAnsi" w:hAnsiTheme="minorHAnsi"/>
          <w:sz w:val="22"/>
          <w:szCs w:val="22"/>
        </w:rPr>
        <w:t xml:space="preserve">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2"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6284B551"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036E5A"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09BB8964"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r w:rsidR="00036E5A" w:rsidRPr="00A93784">
        <w:rPr>
          <w:rFonts w:asciiTheme="minorHAnsi" w:hAnsiTheme="minorHAnsi" w:cstheme="minorBidi"/>
          <w:color w:val="auto"/>
          <w:sz w:val="22"/>
          <w:szCs w:val="22"/>
        </w:rPr>
        <w:t>e.g.,</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 (</w:t>
      </w:r>
      <w:r w:rsidR="00036E5A" w:rsidRPr="00A93784">
        <w:rPr>
          <w:rFonts w:asciiTheme="minorHAnsi" w:hAnsiTheme="minorHAnsi" w:cstheme="minorBidi"/>
          <w:color w:val="auto"/>
          <w:sz w:val="22"/>
          <w:szCs w:val="22"/>
        </w:rPr>
        <w:t>e.g.,</w:t>
      </w:r>
      <w:r w:rsidRPr="00A93784">
        <w:rPr>
          <w:rFonts w:asciiTheme="minorHAnsi" w:hAnsiTheme="minorHAnsi" w:cstheme="minorBidi"/>
          <w:color w:val="auto"/>
          <w:sz w:val="22"/>
          <w:szCs w:val="22"/>
        </w:rPr>
        <w:t xml:space="preserve"> </w:t>
      </w:r>
      <w:proofErr w:type="spellStart"/>
      <w:r w:rsidR="00036E5A" w:rsidRPr="00036E5A">
        <w:rPr>
          <w:rFonts w:asciiTheme="minorHAnsi" w:hAnsiTheme="minorHAnsi" w:cstheme="minorBidi"/>
          <w:color w:val="auto"/>
          <w:sz w:val="22"/>
          <w:szCs w:val="22"/>
        </w:rPr>
        <w:t>SystmOne</w:t>
      </w:r>
      <w:proofErr w:type="spellEnd"/>
      <w:r w:rsidRPr="00036E5A">
        <w:rPr>
          <w:rFonts w:asciiTheme="minorHAnsi" w:hAnsiTheme="minorHAnsi" w:cstheme="minorBidi"/>
          <w:color w:val="auto"/>
          <w:sz w:val="22"/>
          <w:szCs w:val="22"/>
        </w:rPr>
        <w:t xml:space="preserve"> remote consultin</w:t>
      </w:r>
      <w:r w:rsidR="00036E5A" w:rsidRPr="00036E5A">
        <w:rPr>
          <w:rFonts w:asciiTheme="minorHAnsi" w:hAnsiTheme="minorHAnsi" w:cstheme="minorBidi"/>
          <w:color w:val="auto"/>
          <w:sz w:val="22"/>
          <w:szCs w:val="22"/>
        </w:rPr>
        <w:t>g</w:t>
      </w:r>
      <w:r w:rsidR="00036E5A">
        <w:rPr>
          <w:rFonts w:asciiTheme="minorHAnsi" w:hAnsiTheme="minorHAnsi" w:cstheme="minorBidi"/>
          <w:color w:val="auto"/>
          <w:sz w:val="22"/>
          <w:szCs w:val="22"/>
        </w:rPr>
        <w:t xml:space="preserve"> system)</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7079EECC"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w:t>
      </w:r>
      <w:r w:rsidR="00036E5A" w:rsidRPr="00A93784">
        <w:t>e.g.,</w:t>
      </w:r>
      <w:r w:rsidRPr="00A93784">
        <w:t xml:space="preserve">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0709E457"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r w:rsidR="00036E5A">
        <w:t>outpatient,</w:t>
      </w:r>
      <w:r>
        <w:t xml:space="preserve"> and A&amp;E).  In some </w:t>
      </w:r>
      <w:r w:rsidR="00036E5A">
        <w:t>cases,</w:t>
      </w:r>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w:t>
      </w:r>
      <w:r>
        <w:lastRenderedPageBreak/>
        <w:t xml:space="preserve">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6E84C42C" w:rsidR="0000492A" w:rsidRDefault="0000492A" w:rsidP="0000492A">
      <w:pPr>
        <w:spacing w:after="0" w:line="240" w:lineRule="auto"/>
        <w:jc w:val="both"/>
      </w:pPr>
      <w:r>
        <w:t xml:space="preserve">We record any instances where we transfer personal information to a third country or international organisation. This is very </w:t>
      </w:r>
      <w:r w:rsidR="00036E5A">
        <w:t>limited,</w:t>
      </w:r>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35D98ED7" w14:textId="77E99ED9" w:rsid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036E5A" w:rsidP="00CC4080">
      <w:pPr>
        <w:pStyle w:val="Default"/>
        <w:jc w:val="both"/>
        <w:rPr>
          <w:rFonts w:asciiTheme="minorHAnsi" w:hAnsiTheme="minorHAnsi"/>
          <w:sz w:val="22"/>
          <w:szCs w:val="22"/>
        </w:rPr>
      </w:pPr>
      <w:hyperlink r:id="rId14"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D13408D"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r w:rsidR="00036E5A" w:rsidRPr="00A93784">
        <w:rPr>
          <w:rFonts w:asciiTheme="minorHAnsi" w:hAnsiTheme="minorHAnsi"/>
          <w:sz w:val="22"/>
          <w:szCs w:val="22"/>
        </w:rPr>
        <w:t>several</w:t>
      </w:r>
      <w:r w:rsidRPr="00A93784">
        <w:rPr>
          <w:rFonts w:asciiTheme="minorHAnsi" w:hAnsiTheme="minorHAnsi"/>
          <w:sz w:val="22"/>
          <w:szCs w:val="22"/>
        </w:rPr>
        <w:t xml:space="preserve"> sources including NHS Trusts, GP </w:t>
      </w:r>
      <w:r w:rsidR="00036E5A" w:rsidRPr="00A93784">
        <w:rPr>
          <w:rFonts w:asciiTheme="minorHAnsi" w:hAnsiTheme="minorHAnsi"/>
          <w:sz w:val="22"/>
          <w:szCs w:val="22"/>
        </w:rPr>
        <w:t>Federations,</w:t>
      </w:r>
      <w:r w:rsidRPr="00A93784">
        <w:rPr>
          <w:rFonts w:asciiTheme="minorHAnsi" w:hAnsiTheme="minorHAnsi"/>
          <w:sz w:val="22"/>
          <w:szCs w:val="22"/>
        </w:rPr>
        <w:t xml:space="preserve">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2281BBA7"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stratification may be commissioned by the</w:t>
      </w:r>
      <w:r w:rsidR="00036E5A">
        <w:rPr>
          <w:rFonts w:asciiTheme="minorHAnsi" w:hAnsiTheme="minorHAnsi"/>
          <w:sz w:val="22"/>
          <w:szCs w:val="22"/>
        </w:rPr>
        <w:t xml:space="preserve"> </w:t>
      </w:r>
      <w:proofErr w:type="gramStart"/>
      <w:r w:rsidR="00036E5A">
        <w:rPr>
          <w:rFonts w:asciiTheme="minorHAnsi" w:hAnsiTheme="minorHAnsi"/>
          <w:sz w:val="22"/>
          <w:szCs w:val="22"/>
        </w:rPr>
        <w:t>North East</w:t>
      </w:r>
      <w:proofErr w:type="gramEnd"/>
      <w:r w:rsidR="00036E5A">
        <w:rPr>
          <w:rFonts w:asciiTheme="minorHAnsi" w:hAnsiTheme="minorHAnsi"/>
          <w:sz w:val="22"/>
          <w:szCs w:val="22"/>
        </w:rPr>
        <w:t xml:space="preserve"> and North Cumbria</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1B2108F0"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w:t>
      </w:r>
      <w:r w:rsidR="00036E5A" w:rsidRPr="00411889">
        <w:rPr>
          <w:rFonts w:asciiTheme="minorHAnsi" w:hAnsiTheme="minorHAnsi"/>
          <w:sz w:val="22"/>
          <w:szCs w:val="22"/>
        </w:rPr>
        <w:t>reactions,</w:t>
      </w:r>
      <w:r w:rsidRPr="00411889">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79D7C435"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w:t>
      </w:r>
      <w:r w:rsidR="00036E5A" w:rsidRPr="00411889">
        <w:rPr>
          <w:rFonts w:asciiTheme="minorHAnsi" w:hAnsiTheme="minorHAnsi"/>
          <w:sz w:val="22"/>
          <w:szCs w:val="22"/>
        </w:rPr>
        <w:t>fax,</w:t>
      </w:r>
      <w:r w:rsidRPr="00411889">
        <w:rPr>
          <w:rFonts w:asciiTheme="minorHAnsi" w:hAnsiTheme="minorHAnsi"/>
          <w:sz w:val="22"/>
          <w:szCs w:val="22"/>
        </w:rPr>
        <w:t xml:space="preserve">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Pr="00036E5A">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3E91775A"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036E5A" w:rsidRPr="00BA5171">
        <w:t>evidence-based</w:t>
      </w:r>
      <w:r w:rsidRPr="00BA5171">
        <w:t xml:space="preserve"> </w:t>
      </w:r>
      <w:proofErr w:type="gramStart"/>
      <w:r w:rsidRPr="00BA5171">
        <w:t>cost effective</w:t>
      </w:r>
      <w:proofErr w:type="gramEnd"/>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5F8EE202"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036E5A"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r w:rsidR="00036E5A" w:rsidRPr="00A93784">
        <w:rPr>
          <w:rFonts w:asciiTheme="minorHAnsi" w:hAnsiTheme="minorHAnsi"/>
          <w:sz w:val="22"/>
          <w:szCs w:val="22"/>
        </w:rPr>
        <w:t>otherwise,</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 xml:space="preserve">Your right to opt </w:t>
      </w:r>
      <w:proofErr w:type="gramStart"/>
      <w:r w:rsidRPr="0005686B">
        <w:rPr>
          <w:rFonts w:cstheme="minorHAnsi"/>
          <w:b/>
        </w:rPr>
        <w:t>out</w:t>
      </w:r>
      <w:proofErr w:type="gramEnd"/>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7" w:history="1">
        <w:r w:rsidRPr="0005686B">
          <w:rPr>
            <w:rStyle w:val="Hyperlink"/>
            <w:rFonts w:cstheme="minorHAnsi"/>
          </w:rPr>
          <w:t>here</w:t>
        </w:r>
      </w:hyperlink>
      <w:r w:rsidRPr="0005686B">
        <w:rPr>
          <w:rFonts w:cstheme="minorHAnsi"/>
        </w:rPr>
        <w:t xml:space="preserve"> </w:t>
      </w:r>
      <w:hyperlink r:id="rId18"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w:t>
      </w:r>
      <w:proofErr w:type="gramStart"/>
      <w:r w:rsidRPr="0005686B">
        <w:rPr>
          <w:rFonts w:cstheme="minorHAnsi"/>
          <w:b/>
          <w:lang w:val="en"/>
        </w:rPr>
        <w:t>out</w:t>
      </w:r>
      <w:proofErr w:type="gramEnd"/>
    </w:p>
    <w:p w14:paraId="06B275F5" w14:textId="0E795A4F"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w:t>
      </w:r>
      <w:r w:rsidR="00036E5A" w:rsidRPr="0005686B">
        <w:rPr>
          <w:rFonts w:cstheme="minorHAnsi"/>
          <w:lang w:val="en"/>
        </w:rPr>
        <w:t>practice;</w:t>
      </w:r>
      <w:r w:rsidRPr="0005686B">
        <w:rPr>
          <w:rFonts w:cstheme="minorHAnsi"/>
          <w:lang w:val="en"/>
        </w:rPr>
        <w:t xml:space="preserve"> </w:t>
      </w:r>
      <w:r w:rsidR="00036E5A" w:rsidRPr="0005686B">
        <w:rPr>
          <w:rFonts w:cstheme="minorHAnsi"/>
          <w:lang w:val="en"/>
        </w:rPr>
        <w:t>you</w:t>
      </w:r>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678F080F"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r w:rsidR="00036E5A" w:rsidRPr="0005686B">
        <w:rPr>
          <w:rFonts w:cstheme="minorHAnsi"/>
        </w:rPr>
        <w:t>out,</w:t>
      </w:r>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114EBD1C"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r w:rsidR="00036E5A" w:rsidRPr="0005686B">
        <w:rPr>
          <w:rFonts w:cstheme="minorHAnsi"/>
        </w:rPr>
        <w:t>treatment,</w:t>
      </w:r>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2D2C6D48"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r w:rsidR="00036E5A" w:rsidRPr="005509A0">
        <w:rPr>
          <w:rFonts w:eastAsia="Calibri" w:cs="Arial"/>
        </w:rPr>
        <w:t>must</w:t>
      </w:r>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33AB692D"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r w:rsidR="00036E5A" w:rsidRPr="005509A0">
        <w:rPr>
          <w:rFonts w:eastAsia="Calibri" w:cs="Arial"/>
        </w:rPr>
        <w:t>you,</w:t>
      </w:r>
      <w:r w:rsidRPr="005509A0">
        <w:rPr>
          <w:rFonts w:eastAsia="Calibri" w:cs="Arial"/>
        </w:rPr>
        <w:t xml:space="preserve"> we may charge a reasonable administrative fee. If you want to access your </w:t>
      </w:r>
      <w:r w:rsidR="00036E5A" w:rsidRPr="005509A0">
        <w:rPr>
          <w:rFonts w:eastAsia="Calibri" w:cs="Arial"/>
        </w:rPr>
        <w:t>data,</w:t>
      </w:r>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4ED9CC3D"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036E5A"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data are no longer needed for their original purpose (and no new lawful purpose exists);</w:t>
      </w:r>
    </w:p>
    <w:p w14:paraId="0FBC6F25" w14:textId="380A6D61" w:rsidR="00DC531D" w:rsidRPr="00DC531D" w:rsidRDefault="00DC531D" w:rsidP="00036E5A">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t>
      </w:r>
      <w:r w:rsidR="00036E5A">
        <w:rPr>
          <w:rFonts w:asciiTheme="minorHAnsi" w:hAnsiTheme="minorHAnsi" w:cstheme="minorHAnsi"/>
          <w:color w:val="000000"/>
          <w:sz w:val="22"/>
          <w:szCs w:val="22"/>
        </w:rPr>
        <w:t xml:space="preserve"> </w:t>
      </w:r>
      <w:r w:rsidR="00036E5A"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lawful basis for the processing is your consent, and you withdraw that consent, and no </w:t>
      </w:r>
      <w:r w:rsidR="00036E5A" w:rsidRPr="00DC531D">
        <w:rPr>
          <w:rFonts w:asciiTheme="minorHAnsi" w:hAnsiTheme="minorHAnsi" w:cstheme="minorHAnsi"/>
          <w:color w:val="000000"/>
          <w:sz w:val="22"/>
          <w:szCs w:val="22"/>
        </w:rPr>
        <w:t xml:space="preserve">other </w:t>
      </w:r>
      <w:r w:rsidR="00036E5A">
        <w:rPr>
          <w:rFonts w:asciiTheme="minorHAnsi" w:hAnsiTheme="minorHAnsi" w:cstheme="minorHAnsi"/>
          <w:color w:val="000000"/>
          <w:sz w:val="22"/>
          <w:szCs w:val="22"/>
        </w:rPr>
        <w:t>lawful</w:t>
      </w:r>
      <w:r w:rsidRPr="00DC531D">
        <w:rPr>
          <w:rFonts w:asciiTheme="minorHAnsi" w:hAnsiTheme="minorHAnsi" w:cstheme="minorHAnsi"/>
          <w:color w:val="000000"/>
          <w:sz w:val="22"/>
          <w:szCs w:val="22"/>
        </w:rPr>
        <w:t xml:space="preserve"> ground exists;</w:t>
      </w:r>
    </w:p>
    <w:p w14:paraId="4B009810" w14:textId="747509A3"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036E5A">
        <w:rPr>
          <w:rFonts w:asciiTheme="minorHAnsi" w:hAnsiTheme="minorHAnsi" w:cstheme="minorHAnsi"/>
          <w:color w:val="000000"/>
          <w:sz w:val="22"/>
          <w:szCs w:val="22"/>
        </w:rPr>
        <w:t>You</w:t>
      </w:r>
      <w:r w:rsidRPr="00DC531D">
        <w:rPr>
          <w:rFonts w:asciiTheme="minorHAnsi" w:hAnsiTheme="minorHAnsi" w:cstheme="minorHAnsi"/>
          <w:color w:val="000000"/>
          <w:sz w:val="22"/>
          <w:szCs w:val="22"/>
        </w:rPr>
        <w:t xml:space="preserve"> exercise the right to </w:t>
      </w:r>
      <w:r w:rsidR="00036E5A" w:rsidRPr="00DC531D">
        <w:rPr>
          <w:rFonts w:asciiTheme="minorHAnsi" w:hAnsiTheme="minorHAnsi" w:cstheme="minorHAnsi"/>
          <w:color w:val="000000"/>
          <w:sz w:val="22"/>
          <w:szCs w:val="22"/>
        </w:rPr>
        <w:t>object,</w:t>
      </w:r>
      <w:r w:rsidRPr="00DC531D">
        <w:rPr>
          <w:rFonts w:asciiTheme="minorHAnsi" w:hAnsiTheme="minorHAnsi" w:cstheme="minorHAnsi"/>
          <w:color w:val="000000"/>
          <w:sz w:val="22"/>
          <w:szCs w:val="22"/>
        </w:rPr>
        <w:t xml:space="preserve">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086093D5"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036E5A"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27346B19" w14:textId="77777777" w:rsidR="00036E5A" w:rsidRDefault="00036E5A"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09D61B29"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reasons of freedom of expression and information (this includes journalism and academic, </w:t>
      </w:r>
      <w:r w:rsidR="00036E5A" w:rsidRPr="00DC531D">
        <w:rPr>
          <w:rFonts w:asciiTheme="minorHAnsi" w:hAnsiTheme="minorHAnsi" w:cstheme="minorHAnsi"/>
          <w:color w:val="000000"/>
          <w:sz w:val="22"/>
          <w:szCs w:val="22"/>
        </w:rPr>
        <w:t>artistic,</w:t>
      </w:r>
      <w:r w:rsidRPr="00DC531D">
        <w:rPr>
          <w:rFonts w:asciiTheme="minorHAnsi" w:hAnsiTheme="minorHAnsi" w:cstheme="minorHAnsi"/>
          <w:color w:val="000000"/>
          <w:sz w:val="22"/>
          <w:szCs w:val="22"/>
        </w:rPr>
        <w:t xml:space="preserve">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6118EE7D"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establishing, </w:t>
      </w:r>
      <w:r w:rsidR="00036E5A" w:rsidRPr="00DC531D">
        <w:rPr>
          <w:rFonts w:asciiTheme="minorHAnsi" w:hAnsiTheme="minorHAnsi" w:cstheme="minorHAnsi"/>
          <w:color w:val="000000"/>
          <w:sz w:val="22"/>
          <w:szCs w:val="22"/>
        </w:rPr>
        <w:t>exercising,</w:t>
      </w:r>
      <w:r w:rsidRPr="00DC531D">
        <w:rPr>
          <w:rFonts w:asciiTheme="minorHAnsi" w:hAnsiTheme="minorHAnsi" w:cstheme="minorHAnsi"/>
          <w:color w:val="000000"/>
          <w:sz w:val="22"/>
          <w:szCs w:val="22"/>
        </w:rPr>
        <w:t xml:space="preserve"> or defending legal claims.</w:t>
      </w:r>
    </w:p>
    <w:p w14:paraId="5B7BF5B0" w14:textId="5F7FDF2F"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036E5A"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2A2823B9"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036E5A"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accuracy of the data is contested (and only for as long as it takes to verify that accuracy);</w:t>
      </w:r>
    </w:p>
    <w:p w14:paraId="467D208A" w14:textId="60D62D05"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036E5A"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processing is </w:t>
      </w:r>
      <w:r w:rsidR="00036E5A" w:rsidRPr="00DC531D">
        <w:rPr>
          <w:rFonts w:asciiTheme="minorHAnsi" w:hAnsiTheme="minorHAnsi" w:cstheme="minorHAnsi"/>
          <w:color w:val="000000"/>
          <w:sz w:val="22"/>
          <w:szCs w:val="22"/>
        </w:rPr>
        <w:t>unlawful,</w:t>
      </w:r>
      <w:r w:rsidRPr="00DC531D">
        <w:rPr>
          <w:rFonts w:asciiTheme="minorHAnsi" w:hAnsiTheme="minorHAnsi" w:cstheme="minorHAnsi"/>
          <w:color w:val="000000"/>
          <w:sz w:val="22"/>
          <w:szCs w:val="22"/>
        </w:rPr>
        <w:t xml:space="preserve"> and you request restriction (as opposed to exercising the right to erasure);</w:t>
      </w:r>
    </w:p>
    <w:p w14:paraId="49563516" w14:textId="2AF1CB9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036E5A" w:rsidRPr="00DC531D">
        <w:rPr>
          <w:rFonts w:asciiTheme="minorHAnsi" w:hAnsiTheme="minorHAnsi" w:cstheme="minorHAnsi"/>
          <w:color w:val="000000"/>
          <w:sz w:val="22"/>
          <w:szCs w:val="22"/>
        </w:rPr>
        <w:t>We</w:t>
      </w:r>
      <w:r w:rsidRPr="00DC531D">
        <w:rPr>
          <w:rFonts w:asciiTheme="minorHAnsi" w:hAnsiTheme="minorHAnsi" w:cstheme="minorHAnsi"/>
          <w:color w:val="000000"/>
          <w:sz w:val="22"/>
          <w:szCs w:val="22"/>
        </w:rPr>
        <w:t xml:space="preserve"> no longer need the data for their original purpose, but the data are still required by the practice to establish, </w:t>
      </w:r>
      <w:r w:rsidR="00036E5A" w:rsidRPr="00DC531D">
        <w:rPr>
          <w:rFonts w:asciiTheme="minorHAnsi" w:hAnsiTheme="minorHAnsi" w:cstheme="minorHAnsi"/>
          <w:color w:val="000000"/>
          <w:sz w:val="22"/>
          <w:szCs w:val="22"/>
        </w:rPr>
        <w:t>exercise,</w:t>
      </w:r>
      <w:r w:rsidRPr="00DC531D">
        <w:rPr>
          <w:rFonts w:asciiTheme="minorHAnsi" w:hAnsiTheme="minorHAnsi" w:cstheme="minorHAnsi"/>
          <w:color w:val="000000"/>
          <w:sz w:val="22"/>
          <w:szCs w:val="22"/>
        </w:rPr>
        <w:t xml:space="preserve"> or defend legal rights; or</w:t>
      </w:r>
    </w:p>
    <w:p w14:paraId="0B3F5680" w14:textId="7AC75C14"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036E5A" w:rsidRPr="00DC531D">
        <w:rPr>
          <w:rFonts w:asciiTheme="minorHAnsi" w:hAnsiTheme="minorHAnsi" w:cstheme="minorHAnsi"/>
          <w:color w:val="000000"/>
          <w:sz w:val="22"/>
          <w:szCs w:val="22"/>
        </w:rPr>
        <w:t>If</w:t>
      </w:r>
      <w:r w:rsidRPr="00DC531D">
        <w:rPr>
          <w:rFonts w:asciiTheme="minorHAnsi" w:hAnsiTheme="minorHAnsi" w:cstheme="minorHAnsi"/>
          <w:color w:val="000000"/>
          <w:sz w:val="22"/>
          <w:szCs w:val="22"/>
        </w:rPr>
        <w:t xml:space="preserve">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07EB5B8D"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036E5A"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2C6385FA"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r w:rsidR="00036E5A"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FA22498"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w:t>
      </w:r>
      <w:proofErr w:type="gramStart"/>
      <w:r w:rsidRPr="005509A0">
        <w:rPr>
          <w:rFonts w:eastAsia="Calibri" w:cs="Arial"/>
        </w:rPr>
        <w:t>i.e.</w:t>
      </w:r>
      <w:proofErr w:type="gramEnd"/>
      <w:r w:rsidRPr="005509A0">
        <w:rPr>
          <w:rFonts w:eastAsia="Calibri" w:cs="Arial"/>
        </w:rPr>
        <w:t xml:space="preserve"> processed by a computer and not a human being) </w:t>
      </w:r>
      <w:r w:rsidR="00036E5A" w:rsidRPr="005509A0">
        <w:rPr>
          <w:rFonts w:eastAsia="Calibri" w:cs="Arial"/>
        </w:rPr>
        <w:t>of personal</w:t>
      </w:r>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0044553D"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r w:rsidR="00036E5A" w:rsidRPr="004B78FF">
        <w:rPr>
          <w:rFonts w:cs="Arial"/>
          <w:color w:val="000000"/>
        </w:rPr>
        <w:t>privacy,</w:t>
      </w:r>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14:paraId="08E3D03C" w14:textId="54ABDA03" w:rsidR="00155A0B" w:rsidRPr="007B08D6" w:rsidRDefault="00155A0B" w:rsidP="005509A0">
      <w:pPr>
        <w:spacing w:after="0" w:line="240" w:lineRule="auto"/>
        <w:jc w:val="both"/>
      </w:pPr>
      <w:r w:rsidRPr="007B08D6">
        <w:t xml:space="preserve">If you provide us with your mobile phone </w:t>
      </w:r>
      <w:r w:rsidR="00036E5A" w:rsidRPr="007B08D6">
        <w:t>number,</w:t>
      </w:r>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5A"/>
    <w:rsid w:val="00036EE4"/>
    <w:rsid w:val="000456C3"/>
    <w:rsid w:val="0005686B"/>
    <w:rsid w:val="00062369"/>
    <w:rsid w:val="0007151A"/>
    <w:rsid w:val="001243EC"/>
    <w:rsid w:val="00147383"/>
    <w:rsid w:val="00155A0B"/>
    <w:rsid w:val="0017418E"/>
    <w:rsid w:val="001C2E65"/>
    <w:rsid w:val="00237D8B"/>
    <w:rsid w:val="00286A50"/>
    <w:rsid w:val="002A510B"/>
    <w:rsid w:val="002B435A"/>
    <w:rsid w:val="002E76E8"/>
    <w:rsid w:val="00357102"/>
    <w:rsid w:val="0035776F"/>
    <w:rsid w:val="00392ACF"/>
    <w:rsid w:val="003B67DB"/>
    <w:rsid w:val="003E35AB"/>
    <w:rsid w:val="00411889"/>
    <w:rsid w:val="00463AAD"/>
    <w:rsid w:val="004B78FF"/>
    <w:rsid w:val="004C36E4"/>
    <w:rsid w:val="004D5CF0"/>
    <w:rsid w:val="004E19C0"/>
    <w:rsid w:val="00515C95"/>
    <w:rsid w:val="00517523"/>
    <w:rsid w:val="005509A0"/>
    <w:rsid w:val="00577288"/>
    <w:rsid w:val="005F6CD4"/>
    <w:rsid w:val="006250DF"/>
    <w:rsid w:val="006423FA"/>
    <w:rsid w:val="00696AEF"/>
    <w:rsid w:val="006B11D0"/>
    <w:rsid w:val="006F0239"/>
    <w:rsid w:val="00740402"/>
    <w:rsid w:val="00751CAF"/>
    <w:rsid w:val="007B08D6"/>
    <w:rsid w:val="00861BFF"/>
    <w:rsid w:val="008C66BF"/>
    <w:rsid w:val="00915C93"/>
    <w:rsid w:val="009312EF"/>
    <w:rsid w:val="00955DF3"/>
    <w:rsid w:val="009573F4"/>
    <w:rsid w:val="009A4974"/>
    <w:rsid w:val="00A77713"/>
    <w:rsid w:val="00A93784"/>
    <w:rsid w:val="00A96210"/>
    <w:rsid w:val="00B116A3"/>
    <w:rsid w:val="00B37B8A"/>
    <w:rsid w:val="00B650BA"/>
    <w:rsid w:val="00BA2373"/>
    <w:rsid w:val="00BA5171"/>
    <w:rsid w:val="00C119D3"/>
    <w:rsid w:val="00C55E59"/>
    <w:rsid w:val="00C70831"/>
    <w:rsid w:val="00CC4080"/>
    <w:rsid w:val="00CF7024"/>
    <w:rsid w:val="00D520DA"/>
    <w:rsid w:val="00D7150E"/>
    <w:rsid w:val="00D959BA"/>
    <w:rsid w:val="00DC531D"/>
    <w:rsid w:val="00E100AB"/>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81358129">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the-public/personal-information/" TargetMode="External"/><Relationship Id="rId7" Type="http://schemas.openxmlformats.org/officeDocument/2006/relationships/image" Target="media/image1.jpeg"/><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uk/your-nhs-data-ma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about-the-ico/what-we-do/register-of-data-controlle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eader" Target="header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5139</Words>
  <Characters>29297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PLETTS, Andrea (DR RASOOL)</cp:lastModifiedBy>
  <cp:revision>2</cp:revision>
  <dcterms:created xsi:type="dcterms:W3CDTF">2024-07-10T10:08:00Z</dcterms:created>
  <dcterms:modified xsi:type="dcterms:W3CDTF">2024-07-10T10:08:00Z</dcterms:modified>
</cp:coreProperties>
</file>